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仿宋_GB2312" w:eastAsia="黑体" w:cs="仿宋_GB2312"/>
          <w:sz w:val="36"/>
          <w:szCs w:val="36"/>
          <w:lang w:val="en-US" w:eastAsia="zh-CN"/>
        </w:rPr>
      </w:pPr>
      <w:bookmarkStart w:id="0" w:name="_GoBack"/>
      <w:bookmarkEnd w:id="0"/>
      <w:r>
        <w:rPr>
          <w:rFonts w:hint="eastAsia" w:ascii="黑体" w:hAnsi="黑体" w:eastAsia="黑体"/>
          <w:sz w:val="36"/>
          <w:szCs w:val="36"/>
        </w:rPr>
        <w:t>附件</w:t>
      </w:r>
    </w:p>
    <w:p>
      <w:pPr>
        <w:spacing w:line="580" w:lineRule="exact"/>
        <w:jc w:val="center"/>
        <w:rPr>
          <w:rFonts w:hint="eastAsia" w:ascii="方正小标宋简体" w:hAnsi="方正大标宋简体" w:eastAsia="方正小标宋简体" w:cs="方正小标宋简体"/>
          <w:bCs/>
          <w:color w:val="252525"/>
          <w:kern w:val="0"/>
          <w:sz w:val="44"/>
          <w:szCs w:val="44"/>
        </w:rPr>
      </w:pPr>
      <w:r>
        <w:rPr>
          <w:rFonts w:hint="eastAsia" w:ascii="方正小标宋简体" w:hAnsi="方正大标宋简体" w:eastAsia="方正小标宋简体" w:cs="方正小标宋简体"/>
          <w:bCs/>
          <w:color w:val="252525"/>
          <w:kern w:val="0"/>
          <w:sz w:val="44"/>
          <w:szCs w:val="44"/>
        </w:rPr>
        <w:t>202</w:t>
      </w:r>
      <w:r>
        <w:rPr>
          <w:rFonts w:hint="eastAsia" w:ascii="方正小标宋简体" w:hAnsi="方正大标宋简体" w:eastAsia="方正小标宋简体" w:cs="方正小标宋简体"/>
          <w:bCs/>
          <w:color w:val="252525"/>
          <w:kern w:val="0"/>
          <w:sz w:val="44"/>
          <w:szCs w:val="44"/>
          <w:lang w:val="en-US" w:eastAsia="zh-CN"/>
        </w:rPr>
        <w:t>3</w:t>
      </w:r>
      <w:r>
        <w:rPr>
          <w:rFonts w:hint="eastAsia" w:ascii="方正小标宋简体" w:hAnsi="方正大标宋简体" w:eastAsia="方正小标宋简体" w:cs="方正小标宋简体"/>
          <w:bCs/>
          <w:color w:val="252525"/>
          <w:kern w:val="0"/>
          <w:sz w:val="44"/>
          <w:szCs w:val="44"/>
        </w:rPr>
        <w:t>年</w:t>
      </w:r>
      <w:r>
        <w:rPr>
          <w:rFonts w:hint="eastAsia" w:ascii="方正小标宋简体" w:hAnsi="方正大标宋简体" w:eastAsia="方正小标宋简体" w:cs="方正小标宋简体"/>
          <w:bCs/>
          <w:color w:val="252525"/>
          <w:kern w:val="0"/>
          <w:sz w:val="44"/>
          <w:szCs w:val="44"/>
          <w:lang w:eastAsia="zh-CN"/>
        </w:rPr>
        <w:t>辽宁省</w:t>
      </w:r>
      <w:r>
        <w:rPr>
          <w:rFonts w:hint="eastAsia" w:ascii="方正小标宋简体" w:hAnsi="方正大标宋简体" w:eastAsia="方正小标宋简体" w:cs="方正小标宋简体"/>
          <w:bCs/>
          <w:color w:val="252525"/>
          <w:kern w:val="0"/>
          <w:sz w:val="44"/>
          <w:szCs w:val="44"/>
        </w:rPr>
        <w:t>国际科技合作计划</w:t>
      </w:r>
    </w:p>
    <w:p>
      <w:pPr>
        <w:spacing w:line="580" w:lineRule="exact"/>
        <w:jc w:val="center"/>
        <w:rPr>
          <w:rFonts w:ascii="方正小标宋简体" w:hAnsi="宋体" w:eastAsia="方正小标宋简体"/>
          <w:sz w:val="44"/>
          <w:szCs w:val="44"/>
        </w:rPr>
      </w:pPr>
      <w:r>
        <w:rPr>
          <w:rFonts w:hint="eastAsia" w:asciiTheme="majorEastAsia" w:hAnsiTheme="majorEastAsia" w:eastAsiaTheme="majorEastAsia" w:cstheme="majorEastAsia"/>
          <w:b/>
          <w:bCs/>
          <w:sz w:val="44"/>
          <w:szCs w:val="44"/>
          <w:lang w:val="en-US" w:eastAsia="zh-CN"/>
        </w:rPr>
        <w:t>拟立项项目</w:t>
      </w:r>
      <w:r>
        <w:rPr>
          <w:rFonts w:hint="eastAsia" w:ascii="方正小标宋简体" w:hAnsi="宋体" w:eastAsia="方正小标宋简体"/>
          <w:sz w:val="44"/>
          <w:szCs w:val="44"/>
        </w:rPr>
        <w:t>名单</w:t>
      </w:r>
    </w:p>
    <w:tbl>
      <w:tblPr>
        <w:tblStyle w:val="6"/>
        <w:tblpPr w:leftFromText="180" w:rightFromText="180" w:vertAnchor="text" w:horzAnchor="page" w:tblpX="1204" w:tblpY="559"/>
        <w:tblOverlap w:val="never"/>
        <w:tblW w:w="9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4035"/>
        <w:gridCol w:w="2325"/>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838" w:type="dxa"/>
            <w:tcBorders>
              <w:top w:val="single" w:color="auto" w:sz="4" w:space="0"/>
            </w:tcBorders>
            <w:noWrap w:val="0"/>
            <w:vAlign w:val="center"/>
          </w:tcPr>
          <w:p>
            <w:pPr>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序号</w:t>
            </w:r>
          </w:p>
        </w:tc>
        <w:tc>
          <w:tcPr>
            <w:tcW w:w="4035" w:type="dxa"/>
            <w:tcBorders>
              <w:top w:val="single" w:color="auto" w:sz="4" w:space="0"/>
            </w:tcBorders>
            <w:noWrap w:val="0"/>
            <w:vAlign w:val="center"/>
          </w:tcPr>
          <w:p>
            <w:pPr>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项目名称</w:t>
            </w:r>
          </w:p>
        </w:tc>
        <w:tc>
          <w:tcPr>
            <w:tcW w:w="2325" w:type="dxa"/>
            <w:tcBorders>
              <w:top w:val="single" w:color="auto" w:sz="4" w:space="0"/>
            </w:tcBorders>
            <w:noWrap w:val="0"/>
            <w:vAlign w:val="center"/>
          </w:tcPr>
          <w:p>
            <w:pPr>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承担单位</w:t>
            </w:r>
          </w:p>
        </w:tc>
        <w:tc>
          <w:tcPr>
            <w:tcW w:w="2337" w:type="dxa"/>
            <w:tcBorders>
              <w:top w:val="single" w:color="auto" w:sz="4" w:space="0"/>
            </w:tcBorders>
            <w:noWrap w:val="0"/>
            <w:vAlign w:val="center"/>
          </w:tcPr>
          <w:p>
            <w:pPr>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国外合作单位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exact"/>
        </w:trPr>
        <w:tc>
          <w:tcPr>
            <w:tcW w:w="838"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w:t>
            </w:r>
          </w:p>
        </w:tc>
        <w:tc>
          <w:tcPr>
            <w:tcW w:w="403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i w:val="0"/>
                <w:color w:val="000000"/>
                <w:kern w:val="0"/>
                <w:sz w:val="21"/>
                <w:szCs w:val="21"/>
                <w:u w:val="none"/>
                <w:lang w:val="en-US" w:eastAsia="zh-CN" w:bidi="ar"/>
              </w:rPr>
              <w:t>面向长时储能的卡诺电池关键技术研究</w:t>
            </w:r>
          </w:p>
        </w:tc>
        <w:tc>
          <w:tcPr>
            <w:tcW w:w="23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i w:val="0"/>
                <w:color w:val="000000"/>
                <w:kern w:val="0"/>
                <w:sz w:val="21"/>
                <w:szCs w:val="21"/>
                <w:u w:val="none"/>
                <w:lang w:val="en-US" w:eastAsia="zh-CN" w:bidi="ar"/>
              </w:rPr>
              <w:t>大连理工大学</w:t>
            </w:r>
          </w:p>
        </w:tc>
        <w:tc>
          <w:tcPr>
            <w:tcW w:w="2337"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德国斯图加特大学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838"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w:t>
            </w:r>
          </w:p>
        </w:tc>
        <w:tc>
          <w:tcPr>
            <w:tcW w:w="403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i w:val="0"/>
                <w:color w:val="000000"/>
                <w:kern w:val="0"/>
                <w:sz w:val="21"/>
                <w:szCs w:val="21"/>
                <w:u w:val="none"/>
                <w:lang w:val="en-US" w:eastAsia="zh-CN" w:bidi="ar"/>
              </w:rPr>
              <w:t>高性能全钒液流电池户用系统的研究</w:t>
            </w:r>
          </w:p>
        </w:tc>
        <w:tc>
          <w:tcPr>
            <w:tcW w:w="23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i w:val="0"/>
                <w:color w:val="000000"/>
                <w:kern w:val="0"/>
                <w:sz w:val="21"/>
                <w:szCs w:val="21"/>
                <w:u w:val="none"/>
                <w:lang w:val="en-US" w:eastAsia="zh-CN" w:bidi="ar"/>
              </w:rPr>
              <w:t>中国科学院大连化学物理研究所</w:t>
            </w:r>
          </w:p>
        </w:tc>
        <w:tc>
          <w:tcPr>
            <w:tcW w:w="2337"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比利时Ecosourcen公司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exact"/>
        </w:trPr>
        <w:tc>
          <w:tcPr>
            <w:tcW w:w="838"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w:t>
            </w:r>
          </w:p>
        </w:tc>
        <w:tc>
          <w:tcPr>
            <w:tcW w:w="4035"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i w:val="0"/>
                <w:color w:val="000000"/>
                <w:kern w:val="0"/>
                <w:sz w:val="21"/>
                <w:szCs w:val="21"/>
                <w:u w:val="none"/>
                <w:lang w:val="en-US" w:eastAsia="zh-CN" w:bidi="ar"/>
              </w:rPr>
              <w:t>自主可控的高速高精度数控系统软件研究及</w:t>
            </w:r>
            <w:r>
              <w:rPr>
                <w:rStyle w:val="11"/>
                <w:rFonts w:hint="eastAsia" w:ascii="仿宋_GB2312" w:hAnsi="仿宋_GB2312" w:eastAsia="仿宋_GB2312" w:cs="仿宋_GB2312"/>
                <w:b w:val="0"/>
                <w:bCs/>
                <w:sz w:val="21"/>
                <w:szCs w:val="21"/>
                <w:lang w:val="en-US" w:eastAsia="zh-CN" w:bidi="ar"/>
              </w:rPr>
              <w:t>5轴多通道精密雕刻设备数控系统适配验证</w:t>
            </w:r>
          </w:p>
        </w:tc>
        <w:tc>
          <w:tcPr>
            <w:tcW w:w="2325"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i w:val="0"/>
                <w:color w:val="000000"/>
                <w:kern w:val="0"/>
                <w:sz w:val="21"/>
                <w:szCs w:val="21"/>
                <w:u w:val="none"/>
                <w:lang w:val="en-US" w:eastAsia="zh-CN" w:bidi="ar"/>
              </w:rPr>
              <w:t>特瑞拓软件</w:t>
            </w:r>
            <w:r>
              <w:rPr>
                <w:rStyle w:val="11"/>
                <w:rFonts w:hint="eastAsia" w:ascii="仿宋_GB2312" w:hAnsi="仿宋_GB2312" w:eastAsia="仿宋_GB2312" w:cs="仿宋_GB2312"/>
                <w:b w:val="0"/>
                <w:bCs/>
                <w:sz w:val="21"/>
                <w:szCs w:val="21"/>
                <w:lang w:val="en-US" w:eastAsia="zh-CN" w:bidi="ar"/>
              </w:rPr>
              <w:t>(辽宁)有限公司</w:t>
            </w:r>
          </w:p>
        </w:tc>
        <w:tc>
          <w:tcPr>
            <w:tcW w:w="2337"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德国Trimeta公司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38"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w:t>
            </w:r>
          </w:p>
        </w:tc>
        <w:tc>
          <w:tcPr>
            <w:tcW w:w="403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i w:val="0"/>
                <w:color w:val="000000"/>
                <w:kern w:val="0"/>
                <w:sz w:val="21"/>
                <w:szCs w:val="21"/>
                <w:u w:val="none"/>
                <w:lang w:val="en-US" w:eastAsia="zh-CN" w:bidi="ar"/>
              </w:rPr>
              <w:t>高性能磁粒子频谱分析仪联合研发平台</w:t>
            </w:r>
          </w:p>
        </w:tc>
        <w:tc>
          <w:tcPr>
            <w:tcW w:w="23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i w:val="0"/>
                <w:color w:val="000000"/>
                <w:kern w:val="0"/>
                <w:sz w:val="21"/>
                <w:szCs w:val="21"/>
                <w:u w:val="none"/>
                <w:lang w:val="en-US" w:eastAsia="zh-CN" w:bidi="ar"/>
              </w:rPr>
              <w:t>辽宁嘉音医疗科技有限公司</w:t>
            </w:r>
          </w:p>
        </w:tc>
        <w:tc>
          <w:tcPr>
            <w:tcW w:w="2337"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日本九州大学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38" w:type="dxa"/>
            <w:noWrap w:val="0"/>
            <w:vAlign w:val="center"/>
          </w:tcPr>
          <w:p>
            <w:pPr>
              <w:keepNext w:val="0"/>
              <w:keepLines w:val="0"/>
              <w:pageBreakBefore w:val="0"/>
              <w:kinsoku/>
              <w:wordWrap/>
              <w:overflowPunct/>
              <w:topLinePunct w:val="0"/>
              <w:autoSpaceDE/>
              <w:autoSpaceDN/>
              <w:bidi w:val="0"/>
              <w:spacing w:line="32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5</w:t>
            </w:r>
          </w:p>
        </w:tc>
        <w:tc>
          <w:tcPr>
            <w:tcW w:w="403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i w:val="0"/>
                <w:color w:val="000000"/>
                <w:kern w:val="0"/>
                <w:sz w:val="21"/>
                <w:szCs w:val="21"/>
                <w:u w:val="none"/>
                <w:lang w:val="en-US" w:eastAsia="zh-CN" w:bidi="ar"/>
              </w:rPr>
              <w:t>基于嵌合外泌体构建针对胃癌腹膜转移的靶向药物递送平台</w:t>
            </w:r>
          </w:p>
        </w:tc>
        <w:tc>
          <w:tcPr>
            <w:tcW w:w="23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i w:val="0"/>
                <w:color w:val="000000"/>
                <w:kern w:val="0"/>
                <w:sz w:val="21"/>
                <w:szCs w:val="21"/>
                <w:u w:val="none"/>
                <w:lang w:val="en-US" w:eastAsia="zh-CN" w:bidi="ar"/>
              </w:rPr>
              <w:t>中国医科大学</w:t>
            </w:r>
          </w:p>
        </w:tc>
        <w:tc>
          <w:tcPr>
            <w:tcW w:w="2337"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美国贝勒医学院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38" w:type="dxa"/>
            <w:noWrap w:val="0"/>
            <w:vAlign w:val="center"/>
          </w:tcPr>
          <w:p>
            <w:pPr>
              <w:keepNext w:val="0"/>
              <w:keepLines w:val="0"/>
              <w:pageBreakBefore w:val="0"/>
              <w:kinsoku/>
              <w:wordWrap/>
              <w:overflowPunct/>
              <w:topLinePunct w:val="0"/>
              <w:autoSpaceDE/>
              <w:autoSpaceDN/>
              <w:bidi w:val="0"/>
              <w:spacing w:line="32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6</w:t>
            </w:r>
          </w:p>
        </w:tc>
        <w:tc>
          <w:tcPr>
            <w:tcW w:w="403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面向能源运维任务的高适应智能爬壁机器人系统</w:t>
            </w:r>
          </w:p>
        </w:tc>
        <w:tc>
          <w:tcPr>
            <w:tcW w:w="23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中国科学院沈阳自动化研究所</w:t>
            </w:r>
          </w:p>
        </w:tc>
        <w:tc>
          <w:tcPr>
            <w:tcW w:w="2337"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德国工厂运行与自动化研究所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exact"/>
        </w:trPr>
        <w:tc>
          <w:tcPr>
            <w:tcW w:w="838" w:type="dxa"/>
            <w:noWrap w:val="0"/>
            <w:vAlign w:val="center"/>
          </w:tcPr>
          <w:p>
            <w:pPr>
              <w:keepNext w:val="0"/>
              <w:keepLines w:val="0"/>
              <w:pageBreakBefore w:val="0"/>
              <w:kinsoku/>
              <w:wordWrap/>
              <w:overflowPunct/>
              <w:topLinePunct w:val="0"/>
              <w:autoSpaceDE/>
              <w:autoSpaceDN/>
              <w:bidi w:val="0"/>
              <w:spacing w:line="32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7</w:t>
            </w:r>
          </w:p>
        </w:tc>
        <w:tc>
          <w:tcPr>
            <w:tcW w:w="403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新型抑制剂的创制与应用</w:t>
            </w:r>
          </w:p>
        </w:tc>
        <w:tc>
          <w:tcPr>
            <w:tcW w:w="23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中国科学院沈阳应用生态研究所</w:t>
            </w:r>
          </w:p>
        </w:tc>
        <w:tc>
          <w:tcPr>
            <w:tcW w:w="2337"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德国联邦栽培植物研究中心作物和土壤科学研究所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exact"/>
        </w:trPr>
        <w:tc>
          <w:tcPr>
            <w:tcW w:w="838" w:type="dxa"/>
            <w:noWrap w:val="0"/>
            <w:vAlign w:val="center"/>
          </w:tcPr>
          <w:p>
            <w:pPr>
              <w:keepNext w:val="0"/>
              <w:keepLines w:val="0"/>
              <w:pageBreakBefore w:val="0"/>
              <w:kinsoku/>
              <w:wordWrap/>
              <w:overflowPunct/>
              <w:topLinePunct w:val="0"/>
              <w:autoSpaceDE/>
              <w:autoSpaceDN/>
              <w:bidi w:val="0"/>
              <w:spacing w:line="32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8</w:t>
            </w:r>
          </w:p>
        </w:tc>
        <w:tc>
          <w:tcPr>
            <w:tcW w:w="403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轻量化高适应性协作机械臂系统研究</w:t>
            </w:r>
          </w:p>
        </w:tc>
        <w:tc>
          <w:tcPr>
            <w:tcW w:w="23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中国科学院沈阳自动化研究所</w:t>
            </w:r>
          </w:p>
        </w:tc>
        <w:tc>
          <w:tcPr>
            <w:tcW w:w="2337"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德国斯图加特大学机床与制造单元控制工程研究所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38" w:type="dxa"/>
            <w:noWrap w:val="0"/>
            <w:vAlign w:val="center"/>
          </w:tcPr>
          <w:p>
            <w:pPr>
              <w:keepNext w:val="0"/>
              <w:keepLines w:val="0"/>
              <w:pageBreakBefore w:val="0"/>
              <w:kinsoku/>
              <w:wordWrap/>
              <w:overflowPunct/>
              <w:topLinePunct w:val="0"/>
              <w:autoSpaceDE/>
              <w:autoSpaceDN/>
              <w:bidi w:val="0"/>
              <w:spacing w:line="32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9</w:t>
            </w:r>
          </w:p>
        </w:tc>
        <w:tc>
          <w:tcPr>
            <w:tcW w:w="403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钙钛矿薄膜太阳能电池驱动农村生活污水低成本智能一体化处理系统研发</w:t>
            </w:r>
          </w:p>
        </w:tc>
        <w:tc>
          <w:tcPr>
            <w:tcW w:w="23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沈阳工程学院</w:t>
            </w:r>
          </w:p>
        </w:tc>
        <w:tc>
          <w:tcPr>
            <w:tcW w:w="2337"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印度尼西亚泗水大学可再生能源研究中心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38" w:type="dxa"/>
            <w:noWrap w:val="0"/>
            <w:vAlign w:val="center"/>
          </w:tcPr>
          <w:p>
            <w:pPr>
              <w:keepNext w:val="0"/>
              <w:keepLines w:val="0"/>
              <w:pageBreakBefore w:val="0"/>
              <w:kinsoku/>
              <w:wordWrap/>
              <w:overflowPunct/>
              <w:topLinePunct w:val="0"/>
              <w:autoSpaceDE/>
              <w:autoSpaceDN/>
              <w:bidi w:val="0"/>
              <w:spacing w:line="32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10</w:t>
            </w:r>
          </w:p>
        </w:tc>
        <w:tc>
          <w:tcPr>
            <w:tcW w:w="403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绿色农产品溯源区块链与生物检测技术研究与应用</w:t>
            </w:r>
          </w:p>
        </w:tc>
        <w:tc>
          <w:tcPr>
            <w:tcW w:w="23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辽宁省农业科学院</w:t>
            </w:r>
          </w:p>
        </w:tc>
        <w:tc>
          <w:tcPr>
            <w:tcW w:w="2337"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意大利威斯赛德AG公司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38" w:type="dxa"/>
            <w:noWrap w:val="0"/>
            <w:vAlign w:val="center"/>
          </w:tcPr>
          <w:p>
            <w:pPr>
              <w:keepNext w:val="0"/>
              <w:keepLines w:val="0"/>
              <w:pageBreakBefore w:val="0"/>
              <w:kinsoku/>
              <w:wordWrap/>
              <w:overflowPunct/>
              <w:topLinePunct w:val="0"/>
              <w:autoSpaceDE/>
              <w:autoSpaceDN/>
              <w:bidi w:val="0"/>
              <w:spacing w:line="32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11</w:t>
            </w:r>
          </w:p>
        </w:tc>
        <w:tc>
          <w:tcPr>
            <w:tcW w:w="403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北方地区光能一体集中式农村污水低耗处理装置关键技术研发与应用</w:t>
            </w:r>
          </w:p>
        </w:tc>
        <w:tc>
          <w:tcPr>
            <w:tcW w:w="23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辽宁省城乡建设规划设计院有限责任公司</w:t>
            </w:r>
          </w:p>
        </w:tc>
        <w:tc>
          <w:tcPr>
            <w:tcW w:w="2337"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韩国LE解决方案(株)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exact"/>
        </w:trPr>
        <w:tc>
          <w:tcPr>
            <w:tcW w:w="838" w:type="dxa"/>
            <w:noWrap w:val="0"/>
            <w:vAlign w:val="center"/>
          </w:tcPr>
          <w:p>
            <w:pPr>
              <w:keepNext w:val="0"/>
              <w:keepLines w:val="0"/>
              <w:pageBreakBefore w:val="0"/>
              <w:kinsoku/>
              <w:wordWrap/>
              <w:overflowPunct/>
              <w:topLinePunct w:val="0"/>
              <w:autoSpaceDE/>
              <w:autoSpaceDN/>
              <w:bidi w:val="0"/>
              <w:spacing w:line="32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12</w:t>
            </w:r>
          </w:p>
        </w:tc>
        <w:tc>
          <w:tcPr>
            <w:tcW w:w="403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工业领域</w:t>
            </w:r>
            <w:r>
              <w:rPr>
                <w:rStyle w:val="11"/>
                <w:rFonts w:hint="eastAsia" w:ascii="仿宋_GB2312" w:hAnsi="仿宋_GB2312" w:eastAsia="仿宋_GB2312" w:cs="仿宋_GB2312"/>
                <w:b w:val="0"/>
                <w:bCs/>
                <w:sz w:val="21"/>
                <w:szCs w:val="21"/>
                <w:lang w:val="en-US" w:eastAsia="zh-CN" w:bidi="ar"/>
              </w:rPr>
              <w:t>CO2捕集与矿化利用关键技术研发及应用</w:t>
            </w:r>
          </w:p>
        </w:tc>
        <w:tc>
          <w:tcPr>
            <w:tcW w:w="23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沈阳大学</w:t>
            </w:r>
          </w:p>
        </w:tc>
        <w:tc>
          <w:tcPr>
            <w:tcW w:w="2337"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俄罗斯科学院西伯利亚分院煤炭与煤炭化学研究所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38" w:type="dxa"/>
            <w:noWrap w:val="0"/>
            <w:vAlign w:val="center"/>
          </w:tcPr>
          <w:p>
            <w:pPr>
              <w:keepNext w:val="0"/>
              <w:keepLines w:val="0"/>
              <w:pageBreakBefore w:val="0"/>
              <w:kinsoku/>
              <w:wordWrap/>
              <w:overflowPunct/>
              <w:topLinePunct w:val="0"/>
              <w:autoSpaceDE/>
              <w:autoSpaceDN/>
              <w:bidi w:val="0"/>
              <w:spacing w:line="32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13</w:t>
            </w:r>
          </w:p>
        </w:tc>
        <w:tc>
          <w:tcPr>
            <w:tcW w:w="403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半干旱胁迫环境下根际促生菌的研究与应用</w:t>
            </w:r>
          </w:p>
        </w:tc>
        <w:tc>
          <w:tcPr>
            <w:tcW w:w="23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辽宁省微生物科学研究院</w:t>
            </w:r>
          </w:p>
        </w:tc>
        <w:tc>
          <w:tcPr>
            <w:tcW w:w="2337"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韩国新明能源科技株式会社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38" w:type="dxa"/>
            <w:noWrap w:val="0"/>
            <w:vAlign w:val="center"/>
          </w:tcPr>
          <w:p>
            <w:pPr>
              <w:keepNext w:val="0"/>
              <w:keepLines w:val="0"/>
              <w:pageBreakBefore w:val="0"/>
              <w:kinsoku/>
              <w:wordWrap/>
              <w:overflowPunct/>
              <w:topLinePunct w:val="0"/>
              <w:autoSpaceDE/>
              <w:autoSpaceDN/>
              <w:bidi w:val="0"/>
              <w:spacing w:line="32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14</w:t>
            </w:r>
          </w:p>
        </w:tc>
        <w:tc>
          <w:tcPr>
            <w:tcW w:w="403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航空发动机锻造叶片精确制坯组织遗传与控制技术研究</w:t>
            </w:r>
          </w:p>
        </w:tc>
        <w:tc>
          <w:tcPr>
            <w:tcW w:w="23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中国科学院金属研究所</w:t>
            </w:r>
          </w:p>
        </w:tc>
        <w:tc>
          <w:tcPr>
            <w:tcW w:w="2337"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白俄罗斯科学院物理技术研究所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38" w:type="dxa"/>
            <w:noWrap w:val="0"/>
            <w:vAlign w:val="center"/>
          </w:tcPr>
          <w:p>
            <w:pPr>
              <w:keepNext w:val="0"/>
              <w:keepLines w:val="0"/>
              <w:pageBreakBefore w:val="0"/>
              <w:kinsoku/>
              <w:wordWrap/>
              <w:overflowPunct/>
              <w:topLinePunct w:val="0"/>
              <w:autoSpaceDE/>
              <w:autoSpaceDN/>
              <w:bidi w:val="0"/>
              <w:spacing w:line="32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15</w:t>
            </w:r>
          </w:p>
        </w:tc>
        <w:tc>
          <w:tcPr>
            <w:tcW w:w="403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电子束熔覆智能装备核心部件攻关及产业化</w:t>
            </w:r>
          </w:p>
        </w:tc>
        <w:tc>
          <w:tcPr>
            <w:tcW w:w="23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沈阳金锋特种设备有限公司</w:t>
            </w:r>
          </w:p>
        </w:tc>
        <w:tc>
          <w:tcPr>
            <w:tcW w:w="2337"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俄罗斯利佩茨克国立技术大学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exact"/>
        </w:trPr>
        <w:tc>
          <w:tcPr>
            <w:tcW w:w="838" w:type="dxa"/>
            <w:noWrap w:val="0"/>
            <w:vAlign w:val="center"/>
          </w:tcPr>
          <w:p>
            <w:pPr>
              <w:keepNext w:val="0"/>
              <w:keepLines w:val="0"/>
              <w:pageBreakBefore w:val="0"/>
              <w:kinsoku/>
              <w:wordWrap/>
              <w:overflowPunct/>
              <w:topLinePunct w:val="0"/>
              <w:autoSpaceDE/>
              <w:autoSpaceDN/>
              <w:bidi w:val="0"/>
              <w:spacing w:line="32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16</w:t>
            </w:r>
          </w:p>
        </w:tc>
        <w:tc>
          <w:tcPr>
            <w:tcW w:w="403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沙棘属超泛基因组及耐涝抗寒基因挖掘与利用</w:t>
            </w:r>
          </w:p>
        </w:tc>
        <w:tc>
          <w:tcPr>
            <w:tcW w:w="23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大连民族大学</w:t>
            </w:r>
          </w:p>
        </w:tc>
        <w:tc>
          <w:tcPr>
            <w:tcW w:w="2337"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俄罗斯科学院恩格尔哈特分子生物学研究所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38" w:type="dxa"/>
            <w:noWrap w:val="0"/>
            <w:vAlign w:val="center"/>
          </w:tcPr>
          <w:p>
            <w:pPr>
              <w:keepNext w:val="0"/>
              <w:keepLines w:val="0"/>
              <w:pageBreakBefore w:val="0"/>
              <w:kinsoku/>
              <w:wordWrap/>
              <w:overflowPunct/>
              <w:topLinePunct w:val="0"/>
              <w:autoSpaceDE/>
              <w:autoSpaceDN/>
              <w:bidi w:val="0"/>
              <w:spacing w:line="32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17</w:t>
            </w:r>
          </w:p>
        </w:tc>
        <w:tc>
          <w:tcPr>
            <w:tcW w:w="403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面向严苛服役环境下重载装备修复再制造</w:t>
            </w:r>
            <w:r>
              <w:rPr>
                <w:rStyle w:val="11"/>
                <w:rFonts w:hint="eastAsia" w:ascii="仿宋_GB2312" w:hAnsi="仿宋_GB2312" w:eastAsia="仿宋_GB2312" w:cs="仿宋_GB2312"/>
                <w:b w:val="0"/>
                <w:bCs/>
                <w:sz w:val="21"/>
                <w:szCs w:val="21"/>
                <w:lang w:val="en-US" w:eastAsia="zh-CN" w:bidi="ar"/>
              </w:rPr>
              <w:t>“形-性”调控技术</w:t>
            </w:r>
          </w:p>
        </w:tc>
        <w:tc>
          <w:tcPr>
            <w:tcW w:w="23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沈阳工学院</w:t>
            </w:r>
          </w:p>
        </w:tc>
        <w:tc>
          <w:tcPr>
            <w:tcW w:w="2337"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白俄罗斯国立技术大学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exact"/>
        </w:trPr>
        <w:tc>
          <w:tcPr>
            <w:tcW w:w="838" w:type="dxa"/>
            <w:noWrap w:val="0"/>
            <w:vAlign w:val="center"/>
          </w:tcPr>
          <w:p>
            <w:pPr>
              <w:keepNext w:val="0"/>
              <w:keepLines w:val="0"/>
              <w:pageBreakBefore w:val="0"/>
              <w:kinsoku/>
              <w:wordWrap/>
              <w:overflowPunct/>
              <w:topLinePunct w:val="0"/>
              <w:autoSpaceDE/>
              <w:autoSpaceDN/>
              <w:bidi w:val="0"/>
              <w:spacing w:line="32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18</w:t>
            </w:r>
          </w:p>
        </w:tc>
        <w:tc>
          <w:tcPr>
            <w:tcW w:w="403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用于中药种植的缓释型海藻源生物有机肥料研发及应用</w:t>
            </w:r>
          </w:p>
        </w:tc>
        <w:tc>
          <w:tcPr>
            <w:tcW w:w="23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中国科学院大连化学物理研究所</w:t>
            </w:r>
          </w:p>
        </w:tc>
        <w:tc>
          <w:tcPr>
            <w:tcW w:w="2337"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乌兹别克斯坦科学院聚合物化学与物理研究所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38" w:type="dxa"/>
            <w:noWrap w:val="0"/>
            <w:vAlign w:val="center"/>
          </w:tcPr>
          <w:p>
            <w:pPr>
              <w:keepNext w:val="0"/>
              <w:keepLines w:val="0"/>
              <w:pageBreakBefore w:val="0"/>
              <w:kinsoku/>
              <w:wordWrap/>
              <w:overflowPunct/>
              <w:topLinePunct w:val="0"/>
              <w:autoSpaceDE/>
              <w:autoSpaceDN/>
              <w:bidi w:val="0"/>
              <w:spacing w:line="32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19</w:t>
            </w:r>
          </w:p>
        </w:tc>
        <w:tc>
          <w:tcPr>
            <w:tcW w:w="403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基于</w:t>
            </w:r>
            <w:r>
              <w:rPr>
                <w:rStyle w:val="11"/>
                <w:rFonts w:hint="eastAsia" w:ascii="仿宋_GB2312" w:hAnsi="仿宋_GB2312" w:eastAsia="仿宋_GB2312" w:cs="仿宋_GB2312"/>
                <w:b w:val="0"/>
                <w:bCs/>
                <w:sz w:val="21"/>
                <w:szCs w:val="21"/>
                <w:lang w:val="en-US" w:eastAsia="zh-CN" w:bidi="ar"/>
              </w:rPr>
              <w:t>”核-壳“磁性纳米粒子复合材料腔内治疗主动脉夹层粘连修复的机制研究</w:t>
            </w:r>
          </w:p>
        </w:tc>
        <w:tc>
          <w:tcPr>
            <w:tcW w:w="23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中国医科大学</w:t>
            </w:r>
          </w:p>
        </w:tc>
        <w:tc>
          <w:tcPr>
            <w:tcW w:w="2337"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德国海德堡大学附属医院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38" w:type="dxa"/>
            <w:noWrap w:val="0"/>
            <w:vAlign w:val="center"/>
          </w:tcPr>
          <w:p>
            <w:pPr>
              <w:keepNext w:val="0"/>
              <w:keepLines w:val="0"/>
              <w:pageBreakBefore w:val="0"/>
              <w:kinsoku/>
              <w:wordWrap/>
              <w:overflowPunct/>
              <w:topLinePunct w:val="0"/>
              <w:autoSpaceDE/>
              <w:autoSpaceDN/>
              <w:bidi w:val="0"/>
              <w:spacing w:line="32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20</w:t>
            </w:r>
          </w:p>
        </w:tc>
        <w:tc>
          <w:tcPr>
            <w:tcW w:w="403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i w:val="0"/>
                <w:color w:val="000000"/>
                <w:kern w:val="0"/>
                <w:sz w:val="21"/>
                <w:szCs w:val="21"/>
                <w:u w:val="none"/>
                <w:lang w:val="en-US" w:eastAsia="zh-CN" w:bidi="ar"/>
              </w:rPr>
              <w:t>浅层稠油油藏二氧化碳采能及封存一体化技术研究</w:t>
            </w:r>
          </w:p>
        </w:tc>
        <w:tc>
          <w:tcPr>
            <w:tcW w:w="23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辽宁石油化工大学</w:t>
            </w:r>
          </w:p>
        </w:tc>
        <w:tc>
          <w:tcPr>
            <w:tcW w:w="2337"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加拿大里贾纳大学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38" w:type="dxa"/>
            <w:noWrap w:val="0"/>
            <w:vAlign w:val="center"/>
          </w:tcPr>
          <w:p>
            <w:pPr>
              <w:keepNext w:val="0"/>
              <w:keepLines w:val="0"/>
              <w:pageBreakBefore w:val="0"/>
              <w:kinsoku/>
              <w:wordWrap/>
              <w:overflowPunct/>
              <w:topLinePunct w:val="0"/>
              <w:autoSpaceDE/>
              <w:autoSpaceDN/>
              <w:bidi w:val="0"/>
              <w:spacing w:line="32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21</w:t>
            </w:r>
          </w:p>
        </w:tc>
        <w:tc>
          <w:tcPr>
            <w:tcW w:w="403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i w:val="0"/>
                <w:color w:val="000000"/>
                <w:kern w:val="0"/>
                <w:sz w:val="21"/>
                <w:szCs w:val="21"/>
                <w:u w:val="none"/>
                <w:lang w:val="en-US" w:eastAsia="zh-CN" w:bidi="ar"/>
              </w:rPr>
              <w:t>氮化碳基长波长响应压电辅助光催化体系的设计与构建</w:t>
            </w:r>
          </w:p>
        </w:tc>
        <w:tc>
          <w:tcPr>
            <w:tcW w:w="23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东北大学</w:t>
            </w:r>
          </w:p>
        </w:tc>
        <w:tc>
          <w:tcPr>
            <w:tcW w:w="2337"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英国中央兰开夏大学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38" w:type="dxa"/>
            <w:noWrap w:val="0"/>
            <w:vAlign w:val="center"/>
          </w:tcPr>
          <w:p>
            <w:pPr>
              <w:keepNext w:val="0"/>
              <w:keepLines w:val="0"/>
              <w:pageBreakBefore w:val="0"/>
              <w:kinsoku/>
              <w:wordWrap/>
              <w:overflowPunct/>
              <w:topLinePunct w:val="0"/>
              <w:autoSpaceDE/>
              <w:autoSpaceDN/>
              <w:bidi w:val="0"/>
              <w:spacing w:line="32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22</w:t>
            </w:r>
          </w:p>
        </w:tc>
        <w:tc>
          <w:tcPr>
            <w:tcW w:w="403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i w:val="0"/>
                <w:color w:val="000000"/>
                <w:kern w:val="0"/>
                <w:sz w:val="21"/>
                <w:szCs w:val="21"/>
                <w:u w:val="none"/>
                <w:lang w:val="en-US" w:eastAsia="zh-CN" w:bidi="ar"/>
              </w:rPr>
              <w:t>激光熔覆强化涂层耐磨性及耐蚀性技术研究</w:t>
            </w:r>
          </w:p>
        </w:tc>
        <w:tc>
          <w:tcPr>
            <w:tcW w:w="23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沈阳理工大学</w:t>
            </w:r>
          </w:p>
        </w:tc>
        <w:tc>
          <w:tcPr>
            <w:tcW w:w="2337"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新加坡科技研究局高性能计算研究院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38" w:type="dxa"/>
            <w:noWrap w:val="0"/>
            <w:vAlign w:val="center"/>
          </w:tcPr>
          <w:p>
            <w:pPr>
              <w:keepNext w:val="0"/>
              <w:keepLines w:val="0"/>
              <w:pageBreakBefore w:val="0"/>
              <w:kinsoku/>
              <w:wordWrap/>
              <w:overflowPunct/>
              <w:topLinePunct w:val="0"/>
              <w:autoSpaceDE/>
              <w:autoSpaceDN/>
              <w:bidi w:val="0"/>
              <w:spacing w:line="32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23</w:t>
            </w:r>
          </w:p>
        </w:tc>
        <w:tc>
          <w:tcPr>
            <w:tcW w:w="403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i w:val="0"/>
                <w:color w:val="000000"/>
                <w:kern w:val="0"/>
                <w:sz w:val="21"/>
                <w:szCs w:val="21"/>
                <w:u w:val="none"/>
                <w:lang w:val="en-US" w:eastAsia="zh-CN" w:bidi="ar"/>
              </w:rPr>
              <w:t>生活方式干预对不同亚型糖尿病前期积极影响的代谢组学研究及相关潜在标志物的筛选</w:t>
            </w:r>
          </w:p>
        </w:tc>
        <w:tc>
          <w:tcPr>
            <w:tcW w:w="23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中国科学院大连化学物理研究所</w:t>
            </w:r>
          </w:p>
        </w:tc>
        <w:tc>
          <w:tcPr>
            <w:tcW w:w="2337"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德国图宾根大学医学院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38" w:type="dxa"/>
            <w:noWrap w:val="0"/>
            <w:vAlign w:val="center"/>
          </w:tcPr>
          <w:p>
            <w:pPr>
              <w:keepNext w:val="0"/>
              <w:keepLines w:val="0"/>
              <w:pageBreakBefore w:val="0"/>
              <w:kinsoku/>
              <w:wordWrap/>
              <w:overflowPunct/>
              <w:topLinePunct w:val="0"/>
              <w:autoSpaceDE/>
              <w:autoSpaceDN/>
              <w:bidi w:val="0"/>
              <w:spacing w:line="32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24</w:t>
            </w:r>
          </w:p>
        </w:tc>
        <w:tc>
          <w:tcPr>
            <w:tcW w:w="403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i w:val="0"/>
                <w:color w:val="000000"/>
                <w:kern w:val="0"/>
                <w:sz w:val="21"/>
                <w:szCs w:val="21"/>
                <w:u w:val="none"/>
                <w:lang w:val="en-US" w:eastAsia="zh-CN" w:bidi="ar"/>
              </w:rPr>
              <w:t>多金属材料一体化结构增材制造过程中界面的调控技术研究</w:t>
            </w:r>
          </w:p>
        </w:tc>
        <w:tc>
          <w:tcPr>
            <w:tcW w:w="23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沈阳航空航天大学</w:t>
            </w:r>
          </w:p>
        </w:tc>
        <w:tc>
          <w:tcPr>
            <w:tcW w:w="2337"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白俄罗斯国立工业大学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exact"/>
        </w:trPr>
        <w:tc>
          <w:tcPr>
            <w:tcW w:w="838" w:type="dxa"/>
            <w:noWrap w:val="0"/>
            <w:vAlign w:val="center"/>
          </w:tcPr>
          <w:p>
            <w:pPr>
              <w:keepNext w:val="0"/>
              <w:keepLines w:val="0"/>
              <w:pageBreakBefore w:val="0"/>
              <w:kinsoku/>
              <w:wordWrap/>
              <w:overflowPunct/>
              <w:topLinePunct w:val="0"/>
              <w:autoSpaceDE/>
              <w:autoSpaceDN/>
              <w:bidi w:val="0"/>
              <w:spacing w:line="32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25</w:t>
            </w:r>
          </w:p>
        </w:tc>
        <w:tc>
          <w:tcPr>
            <w:tcW w:w="403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i w:val="0"/>
                <w:color w:val="000000"/>
                <w:kern w:val="0"/>
                <w:sz w:val="21"/>
                <w:szCs w:val="21"/>
                <w:u w:val="none"/>
                <w:lang w:val="en-US" w:eastAsia="zh-CN" w:bidi="ar"/>
              </w:rPr>
              <w:t>经颅脉冲电刺激与人体抗抑郁作用机制</w:t>
            </w:r>
          </w:p>
        </w:tc>
        <w:tc>
          <w:tcPr>
            <w:tcW w:w="23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沈阳理工大学</w:t>
            </w:r>
          </w:p>
        </w:tc>
        <w:tc>
          <w:tcPr>
            <w:tcW w:w="2337"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俄罗斯圣彼得堡“经颅电刺激中心”有限责任公司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38" w:type="dxa"/>
            <w:noWrap w:val="0"/>
            <w:vAlign w:val="center"/>
          </w:tcPr>
          <w:p>
            <w:pPr>
              <w:keepNext w:val="0"/>
              <w:keepLines w:val="0"/>
              <w:pageBreakBefore w:val="0"/>
              <w:kinsoku/>
              <w:wordWrap/>
              <w:overflowPunct/>
              <w:topLinePunct w:val="0"/>
              <w:autoSpaceDE/>
              <w:autoSpaceDN/>
              <w:bidi w:val="0"/>
              <w:spacing w:line="32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26</w:t>
            </w:r>
          </w:p>
        </w:tc>
        <w:tc>
          <w:tcPr>
            <w:tcW w:w="403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i w:val="0"/>
                <w:color w:val="000000"/>
                <w:kern w:val="0"/>
                <w:sz w:val="21"/>
                <w:szCs w:val="21"/>
                <w:u w:val="none"/>
                <w:lang w:val="en-US" w:eastAsia="zh-CN" w:bidi="ar"/>
              </w:rPr>
              <w:t>抑郁的表观遗传学机制探究及抗抑郁药物筛选</w:t>
            </w:r>
          </w:p>
        </w:tc>
        <w:tc>
          <w:tcPr>
            <w:tcW w:w="23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沈阳药科大学</w:t>
            </w:r>
          </w:p>
        </w:tc>
        <w:tc>
          <w:tcPr>
            <w:tcW w:w="2337"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德国癌症研究中心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38" w:type="dxa"/>
            <w:noWrap w:val="0"/>
            <w:vAlign w:val="center"/>
          </w:tcPr>
          <w:p>
            <w:pPr>
              <w:keepNext w:val="0"/>
              <w:keepLines w:val="0"/>
              <w:pageBreakBefore w:val="0"/>
              <w:kinsoku/>
              <w:wordWrap/>
              <w:overflowPunct/>
              <w:topLinePunct w:val="0"/>
              <w:autoSpaceDE/>
              <w:autoSpaceDN/>
              <w:bidi w:val="0"/>
              <w:spacing w:line="32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27</w:t>
            </w:r>
          </w:p>
        </w:tc>
        <w:tc>
          <w:tcPr>
            <w:tcW w:w="403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i w:val="0"/>
                <w:color w:val="000000"/>
                <w:kern w:val="0"/>
                <w:sz w:val="21"/>
                <w:szCs w:val="21"/>
                <w:u w:val="none"/>
                <w:lang w:val="en-US" w:eastAsia="zh-CN" w:bidi="ar"/>
              </w:rPr>
              <w:t>自动化码头人机交互与智慧运维关键技术研究</w:t>
            </w:r>
          </w:p>
        </w:tc>
        <w:tc>
          <w:tcPr>
            <w:tcW w:w="2325"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大连海事大学</w:t>
            </w:r>
          </w:p>
        </w:tc>
        <w:tc>
          <w:tcPr>
            <w:tcW w:w="2337"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i w:val="0"/>
                <w:color w:val="000000"/>
                <w:kern w:val="0"/>
                <w:sz w:val="21"/>
                <w:szCs w:val="21"/>
                <w:u w:val="none"/>
                <w:lang w:val="en-US" w:eastAsia="zh-CN" w:bidi="ar"/>
              </w:rPr>
              <w:t>英国利物浦大学</w:t>
            </w:r>
          </w:p>
        </w:tc>
      </w:tr>
    </w:tbl>
    <w:p>
      <w:pPr>
        <w:spacing w:line="580" w:lineRule="exact"/>
        <w:jc w:val="center"/>
        <w:rPr>
          <w:rFonts w:ascii="方正小标宋简体" w:hAnsi="宋体" w:eastAsia="方正小标宋简体"/>
          <w:sz w:val="44"/>
          <w:szCs w:val="44"/>
        </w:rPr>
      </w:pPr>
    </w:p>
    <w:p>
      <w:pPr>
        <w:spacing w:line="360" w:lineRule="auto"/>
        <w:rPr>
          <w:rFonts w:hint="eastAsia" w:ascii="仿宋_GB2312" w:hAnsi="仿宋_GB2312" w:eastAsia="仿宋_GB2312" w:cs="仿宋_GB2312"/>
          <w:sz w:val="36"/>
          <w:szCs w:val="36"/>
          <w:lang w:eastAsia="zh-CN"/>
        </w:rPr>
      </w:pPr>
    </w:p>
    <w:sectPr>
      <w:pgSz w:w="11906" w:h="16838"/>
      <w:pgMar w:top="2098" w:right="1531" w:bottom="1985" w:left="1531"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方正大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xMzdjYTY2ZWY5ZDUwYjQ2YWVmMDU2ZjUzMDg0NGQifQ=="/>
  </w:docVars>
  <w:rsids>
    <w:rsidRoot w:val="00E924E7"/>
    <w:rsid w:val="00063327"/>
    <w:rsid w:val="00063D51"/>
    <w:rsid w:val="00072F4C"/>
    <w:rsid w:val="00121918"/>
    <w:rsid w:val="00136C10"/>
    <w:rsid w:val="00160C79"/>
    <w:rsid w:val="00174641"/>
    <w:rsid w:val="001A6419"/>
    <w:rsid w:val="00221566"/>
    <w:rsid w:val="002B2171"/>
    <w:rsid w:val="002B2CA5"/>
    <w:rsid w:val="002F674D"/>
    <w:rsid w:val="003518AC"/>
    <w:rsid w:val="00362E17"/>
    <w:rsid w:val="00413ECA"/>
    <w:rsid w:val="004B3366"/>
    <w:rsid w:val="00577404"/>
    <w:rsid w:val="005C619E"/>
    <w:rsid w:val="006041BD"/>
    <w:rsid w:val="00680264"/>
    <w:rsid w:val="006D41FB"/>
    <w:rsid w:val="00706D2D"/>
    <w:rsid w:val="00731439"/>
    <w:rsid w:val="007E2054"/>
    <w:rsid w:val="008511E8"/>
    <w:rsid w:val="00883776"/>
    <w:rsid w:val="008C4ACA"/>
    <w:rsid w:val="008D1047"/>
    <w:rsid w:val="009944F5"/>
    <w:rsid w:val="009B0E01"/>
    <w:rsid w:val="00A07093"/>
    <w:rsid w:val="00A62823"/>
    <w:rsid w:val="00A63A77"/>
    <w:rsid w:val="00A823B3"/>
    <w:rsid w:val="00A84BD6"/>
    <w:rsid w:val="00B2155A"/>
    <w:rsid w:val="00B5066D"/>
    <w:rsid w:val="00B87A7C"/>
    <w:rsid w:val="00BC49D8"/>
    <w:rsid w:val="00BC6A45"/>
    <w:rsid w:val="00BE4BFD"/>
    <w:rsid w:val="00C26DE1"/>
    <w:rsid w:val="00C672A2"/>
    <w:rsid w:val="00CA61F0"/>
    <w:rsid w:val="00CB472B"/>
    <w:rsid w:val="00D13D2D"/>
    <w:rsid w:val="00DE0528"/>
    <w:rsid w:val="00DF1150"/>
    <w:rsid w:val="00E14F64"/>
    <w:rsid w:val="00E863FB"/>
    <w:rsid w:val="00E924E7"/>
    <w:rsid w:val="00EC6A1D"/>
    <w:rsid w:val="00F12B13"/>
    <w:rsid w:val="00F96D1A"/>
    <w:rsid w:val="00FF1983"/>
    <w:rsid w:val="19A76895"/>
    <w:rsid w:val="19F7E6E9"/>
    <w:rsid w:val="1FDE021D"/>
    <w:rsid w:val="330B66A8"/>
    <w:rsid w:val="3B57DFFE"/>
    <w:rsid w:val="3CEEC6BD"/>
    <w:rsid w:val="3DDF65E7"/>
    <w:rsid w:val="6F3DBC39"/>
    <w:rsid w:val="733FA791"/>
    <w:rsid w:val="757FC95A"/>
    <w:rsid w:val="7FB985D5"/>
    <w:rsid w:val="DEAD78B3"/>
    <w:rsid w:val="EEA5E205"/>
    <w:rsid w:val="FEFBD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paragraph" w:styleId="9">
    <w:name w:val="List Paragraph"/>
    <w:basedOn w:val="1"/>
    <w:qFormat/>
    <w:uiPriority w:val="34"/>
    <w:pPr>
      <w:ind w:firstLine="420" w:firstLineChars="200"/>
    </w:pPr>
  </w:style>
  <w:style w:type="character" w:customStyle="1" w:styleId="10">
    <w:name w:val="页眉 字符"/>
    <w:basedOn w:val="7"/>
    <w:link w:val="4"/>
    <w:qFormat/>
    <w:uiPriority w:val="0"/>
    <w:rPr>
      <w:rFonts w:eastAsia="仿宋_GB2312"/>
      <w:kern w:val="2"/>
      <w:sz w:val="18"/>
      <w:szCs w:val="18"/>
    </w:rPr>
  </w:style>
  <w:style w:type="character" w:customStyle="1" w:styleId="11">
    <w:name w:val="font01"/>
    <w:basedOn w:val="7"/>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user\D:\&#25968;&#25454;\&#33258;&#23450;&#20041;%20Office%20&#27169;&#26495;\&#20844;&#25991;&#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公文模板.dotx</Template>
  <Company>微软中国</Company>
  <Pages>1</Pages>
  <Words>43</Words>
  <Characters>249</Characters>
  <Lines>2</Lines>
  <Paragraphs>1</Paragraphs>
  <TotalTime>0</TotalTime>
  <ScaleCrop>false</ScaleCrop>
  <LinksUpToDate>false</LinksUpToDate>
  <CharactersWithSpaces>291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2023-04-20T18:32:00Z</dcterms:created>
  <dc:creator>admin</dc:creator>
  <cp:lastModifiedBy>三寸光阴</cp:lastModifiedBy>
  <cp:lastPrinted>2023-08-15T09:52:00Z</cp:lastPrinted>
  <dcterms:modified xsi:type="dcterms:W3CDTF">2023-08-15T06:16:13Z</dcterms:modified>
  <dc:title>主标题</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7751EC84D8E540239F0F0B28EE08D694_12</vt:lpwstr>
  </property>
</Properties>
</file>