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辽宁省科技人才评价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综合改革试点实施方案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cs="Times New Roman"/>
          <w:b/>
          <w:bCs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为贯彻落实《科技部等八部门印发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关于开展科技人才评价改革试点的工作方案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的通知》（国科发才</w:t>
      </w:r>
      <w:r>
        <w:rPr>
          <w:rFonts w:ascii="Times New Roman" w:hAnsi="Times New Roman" w:eastAsia="方正仿宋简体" w:cs="Times New Roman"/>
          <w:sz w:val="32"/>
          <w:szCs w:val="32"/>
        </w:rPr>
        <w:t>〔2022〕255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，创新科技人才评价机制，激发科技人才积极性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创造性，努力开创我省人尽其才、才尽其用、用有所成的良好局面。特制定如下方案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以习近平新时代中国特色社会主义思想为指导，贯彻落实党的二十大精神，聚焦“四个面向”，坚持“破四唯”与“立新标”并举，围绕解决“评什么、谁来评、怎么评、怎么用”的问题，创新科技人才评价机制，构建以创新价值、能力、贡献为导向的科技人才评价体系，不断激发科技人才创新活力，为建设具有全国影响力的区域科技创新中心提供人才支撑，为国家高水平科技自立自强贡献辽宁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"/>
        </w:rPr>
        <w:t>试点工作坚持以下基本原则：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——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坚持问题导向。聚焦科技人才评价改革落实难等问题，克服“四唯”倾向，在开展科技攻关、成果转化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建设重要创新基地等活动中确立人才评价“新标”，形成可操作、可复制、可推广的经验做法。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——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坚持改革创新，围绕用好用活人才，着力破除思想障碍和制度藩篱，落实用人主体自主权，发挥用人单位、政府、市场、专业组织等多元评价主体作用，营造有利于人才成长和发挥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才干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——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坚持分类评价，按照承担省级以上重大攻关任务、基础研究、应用研究和技术开发、社会公益研究、科技成果转化等五个类别，探索评价指标和评价方式，提高评价质量，让评价结果更加精准、科学、公正。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——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坚持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点面结合，牢牢扭住评价改革的关键环节，既选择试点城市，也选择试点单位，统筹兼顾、系统推进，既从小处切口、点上发力，又在面上开花，形成试点城市和试点单位各有侧重、亮点突出的工作局面。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经过改革，力争形成具有我省特色的科技人才评价标准和评价方式。通过以用定评，评用相适，科学使用评价结果，推动科技人才创新活力持续迸发，创新成果不断涌现。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"/>
        </w:rPr>
        <w:t>二、试点内容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仿宋"/>
          <w:sz w:val="32"/>
          <w:szCs w:val="32"/>
          <w:lang w:val="en"/>
        </w:rPr>
        <w:t>在加强对科技人才科学精神、学术道德评价的基础上，牢牢把握“立新标”的试点目标，根据承担省级以上重大攻关任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务、基础研究、应用研究和技术开发、社会公益研究、科技成果转化五类人才评价需要，组织试点单位结合实际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研究提出具体的人才评价指标，并配套实施有利于评价指标落地的评价方式、评价周期、单位内部制度和外部保障机制。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（一）确定试点单位。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按照科研氛围浓厚、科技人才富集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改革意愿强烈的标准，选择中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院大连化学物理研究所等</w:t>
      </w:r>
      <w:r>
        <w:rPr>
          <w:rFonts w:ascii="Times New Roman" w:hAnsi="Times New Roman" w:eastAsia="方正仿宋简体" w:cs="Times New Roman"/>
          <w:sz w:val="32"/>
          <w:szCs w:val="32"/>
        </w:rPr>
        <w:t>9家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高校院所，分类精准开展科技人才评价改革试点工作。同时，选取积极性高、科研单位相对集中的沈阳市作为试点城市开展科技人才评价改革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综合试点工作。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（二）明晰评价任务。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试点单位确定某一类别试点任务，按照定性和定量相结合原则，对照国家科技人才评价改革试点工作方案，细化评价标准，完善评价方式，精准开展评价，努力提高评价的科学性和有效性。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承担省级以上重大攻关任务的人才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，建立体现支撑国家安全、突破关键核心技术、解决经济社会发展重大问题的实际贡献和创新价值的评价指标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。重点评价国家和省级重大攻关任务完成情况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基础研究人才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，建立体现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重大原创性贡献，支撑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国家战略需求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以及学科特点、学术影响力和研究能力的人才评价指标。推行以原创成果和高质量论文为标志的代表作评价，破除“唯论文”数量倾向，不把论文数量、影响因子高低等相关指标作为量化考核评价指标。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应用研究和技术开发人才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，突出技术突破和产业贡献，建立体现产学研和团队合作、技术创新与集成能力、成果的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市场价值和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应用实效、对经济社会发展贡献的评价指标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。重点评价技术标准、技术解决方案、高质量专利等代表性成果，不以是否发表论文、取得专利多少、申请国家和省级项目经费数量为主要评价指标。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社会公益研究人才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突出行业特色和岗位特点，建立体现成果应用效益、科技服务满意度和社会效益的评价指标。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科技成果转化人才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突出经济社会效益，探索建立以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技术转让、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技术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许可、作价入股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投资的效益，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技术开发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咨询、服务合同等产学研合作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效益，以及创办科技型企业投资额度为主要内容的评价指标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（三）建设评价队伍。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试点单位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要发挥人才评价主体作用，坚持党对人才工作的全面领导，完善科技人才评价组织管理，防止人才评价行政化、“官本位”倾向。要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依托学术委员会组建科技人才评价机构，注重吸纳国内外同行专家参与，充分发挥多元评价主体作用。完善专家库管理办法，明确评价程序和要求，建立相关责任机制，确保评价结果公平公正。探索委托科技类社会组织、行业协会和专业机构等第三方评价机构，开展市场化、社会化人才评价。注重对评审专家实际表现、学术判断能力、公信力的评价，建立评审专家评价信誉制度，提升评价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（四）优化评价方式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" w:eastAsia="zh-CN"/>
        </w:rPr>
        <w:t>针对科研人才评价方式单一、评价方法简单等问题，探索体现科研价值差异性的多元评价方式，增强评价的针对性和精准性。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对承担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 w:eastAsia="zh-CN"/>
        </w:rPr>
        <w:t>省级以上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重大攻关任务的人才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突出用户导向、应用导向、绩效导向，充分听取成果采用方意见，实行“谁委托、谁评价”。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对从事基础研究的人才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以同行评议为主，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引入学术团体等第三方评价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，探索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国际同行评价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。探索建立由一线科学家举荐优秀青年科技人才担任重要科研岗位、承担“从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0到1”基础研究任务的工作机制。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对从事应用研究和技术开发的人才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采取专家、用户和第三方深度参与的评价方式。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 w:eastAsia="zh-CN"/>
        </w:rPr>
        <w:t>对从事社会公益研究的人才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，采取以行业用户和服务对象为主的评价方式，同时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注重政府和社会评价。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突出长期在艰苦边远地区、高危岗位、基层一线和从事科研基础性工作科研人员的贡献。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"/>
        </w:rPr>
        <w:t>对从事科技成果转化的人才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采取评价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转化成果效益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的方式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，正确评价转化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成果对经济、社会所产生的价值，并广泛征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转化对象、市场、行业专家的意见。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同时要注重个人评价与团队评价相结合，优化科技创新团队评价办法，实行以合作解决重大科技问题为重点的整体性评价。尊重团队所有参与者的实际贡献，杜绝无实质贡献的虚假挂名。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 w:eastAsia="zh-CN"/>
        </w:rPr>
        <w:t>（五）合理设置评价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周期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试点单位要遵循不同类型科技人才成长发展规律，科学合理设置评价周期，注重过程评价和结果评价相结合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短期评价和长期评价相结合，克服评价考核过于频繁的问题。突出中长期目标导向，对承担省级以上重大攻关任务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且验收结果优秀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、纳入重点人才计划和连续考核优秀的人才和团队，可试行在一定期限内免评，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并在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新申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项目时减少评价环节，优先纳入重点支持范畴。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 w:eastAsia="zh-CN"/>
        </w:rPr>
        <w:t>六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）注重结果应用。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各试点单位要切实发挥人才评价的正向激励作用，用好用活人才，同时树立正确的人才评价使用导向。发挥人才评价“指挥棒”作用，创新人才发现、培养、使用、激励机制。对承担急难险重科研攻关任务、重大科技基础设施建设任务并做出重要贡献的科研人员，在岗位聘用、职称评审、绩效考核等方面，加大倾斜支持力度。拓宽重点领域急需紧缺人才破格竞聘岗位或岗位晋升绿色通道。在加强合理激励的同时，加强对科研诚信、勤勉尽责的监督，强化对学术不端、科研违规违纪的约束。要坚持正确的价值导向，推动学术头衔、人才称号回归学术性、荣誉性本质，避免与承担各类科技计划、获得科技奖励、职称评定、岗位聘用、薪酬待遇等直接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（一）加强统筹协调。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省科技厅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"/>
        </w:rPr>
        <w:t>做好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科技人才评价改革试点的组织实施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跟踪了解试点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工作进展，组织开展试点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工作交流，及时研究解决有关重要情况和问题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建立改革试点监督约束机制，确保真改实改，防止在改革过程中流于形式、走形变样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营造良好的评价环境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切实提升科技人才的体验感和满意度。各市科技局、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有关单位或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部门可选择符合条件的市属单位或直属单位开展试点。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（二）开展试点工作。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试点期限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为2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年，试点单位按照可操作、可考核原则，编制实施方案，明确试点目标、内容、措施和进度安排。方案经省科技厅研究同意后实施。试点单位要根据试点工作进程，建立、健全规章制度，改进完善岗位聘用、职称评审、绩效考核、表彰奖励等人才评价</w:t>
      </w:r>
      <w:r>
        <w:rPr>
          <w:rFonts w:ascii="Times New Roman" w:hAnsi="Times New Roman" w:eastAsia="方正仿宋简体" w:cs="Times New Roman"/>
          <w:sz w:val="32"/>
          <w:szCs w:val="32"/>
          <w:lang w:val="en"/>
        </w:rPr>
        <w:t>相关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制度。试点期满后，省科技厅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对试点工作情况进行评估，总结有关经验和典型案例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对于可示范、推广的经验，及时总结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复制推广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"/>
        </w:rPr>
        <w:t>（三）加强试点工作保障。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为确保试点工作顺利推进，省科技厅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进一步扩大科研单位科研活动自主权，在科技计划项目评审、科研机构绩效评价、科技人才项目评选中破除“四唯”倾向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持续在人才类和基础研究类科研项目中推行经费包干制，激发人才创新活力。加大对青年科技人才的科研支持。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注重遴选有实力、能攻关、出成果的优秀科技人才和创新团队承担“揭榜挂帅”“带土移植”等重大科技攻关任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</w:pPr>
    </w:p>
    <w:tbl>
      <w:tblPr>
        <w:tblStyle w:val="15"/>
        <w:tblpPr w:leftFromText="180" w:rightFromText="180" w:vertAnchor="text" w:horzAnchor="page" w:tblpX="1515" w:tblpY="369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contextualSpacing/>
              <w:jc w:val="both"/>
              <w:textAlignment w:val="auto"/>
              <w:rPr>
                <w:rFonts w:hint="default" w:eastAsia="仿宋"/>
                <w:color w:val="272727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辽宁省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>科学技术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 xml:space="preserve">厅办公室                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202</w:t>
            </w:r>
            <w:r>
              <w:rPr>
                <w:rFonts w:hint="default" w:eastAsia="仿宋"/>
                <w:color w:val="272727"/>
                <w:sz w:val="28"/>
                <w:szCs w:val="28"/>
                <w:lang w:val="en"/>
              </w:rPr>
              <w:t>3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年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月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日印发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 w:eastAsia="zh-CN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国家科技人才评价改革试点工作任务</w:t>
      </w:r>
      <w:r>
        <w:rPr>
          <w:rFonts w:ascii="Times New Roman" w:hAnsi="Times New Roman" w:eastAsia="宋体" w:cs="Times New Roman"/>
          <w:b/>
          <w:bCs/>
          <w:sz w:val="32"/>
          <w:szCs w:val="32"/>
          <w:lang w:val="en"/>
        </w:rPr>
        <w:br w:type="page"/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" w:eastAsia="zh-CN" w:bidi="ar-SA"/>
        </w:rPr>
        <w:t>国家科技人才评价改革试点工作任务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坚持德才兼备，把品德作为科技人才评价的首要内容，在加强对科技人才科学精神、学术道德等评价的基础上，按照承担国家重大攻关任务的人才评价以及基础研究类、应用研究和技术开发类、社会公益研究类的人才评价，从构建符合科研活动特点的评价指标、创新评价方式、完善用人单位内部制度建设等方面提出试点任务，推动人才评价体系更加完善，形成可操作可复制可推广的有效做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承担国家重大攻关任务的人才评价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1. 突出支撑国家重大战略需求导向，建立体现支撑国家安全、突破关键核心技术、解决经济社会发展重大问题的实际贡献和创新价值的评价指标，重点评价国家重大科研任务完成情况。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2. 完善科研任务用户导向的评价方式，充分听取任务委托方、成果采用方意见。注重个人评价与团队评价相结合。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3. 对承担“卡脖子”国家重大攻关任务、国家重大科技基础设施建设任务等并做出重要贡献的科研人员，在岗位聘用、职称评审、绩效考核等方面，加大倾斜支持力度。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基础研究类人才评价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1. 实行以原创成果和高质量论文为标志的代表作评价，建立体现重大原创性贡献、国家战略需求以及学科特点、学术影响力和研究能力等的人才评价指标。破除“唯论文”数量倾向，不把论文数量、影响因子高低等相关指标作为量化考核评价指标，鼓励科研人员把高质量论文更多发表在国内科技期刊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2. 按照学科特点和任务性质，科学确定评价周期，着力探索低频次、长周期的考核机制。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3. 探索建立同行评价的责任机制，在专家选用、管理和信用记录等方面建立相关制度，规范同行评价的方式和程序、评价意见反馈等行为。探索引入学术团体等第三方评价、国际同行评价等。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4. 建立完善体现基础研究人才评价特点的岗位聘用、职称评审、绩效考核等相关制度，加大对重大科学发现和取得原创性突破的基础研究人员的倾斜支持。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5. 探索由一线科学家举荐优秀青年科技人才担任重要科研岗位、承担“从0到1”基础研究任务的机制。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应用研究和技术开发类人才评价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1. 以技术突破和产业贡献为导向，重点评价技术标准、技术解决方案、高质量专利、成果转化产业化、产学研深度融合成效等代表性成果，建立体现产学研和团队合作、技术创新与集成能力、成果的市场价值和应用实效、对经济社会发展贡献的评价指标。不得以是否发表论文、取得专利多少和申请国家项目经费数量为主要评价指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2. 探索构建专家重点评价技术水平、市场评价产业价值相结合，市场、用户、第三方深度参与的评价方式。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3. 对承担国家科研任务特别是急难险重科研攻关任务、国家重大科技基础设施建设任务等并做出贡献的科研人员，在绩效考核权重方面予以倾斜，引导优秀科研人员投身国家科技任务。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4. 探索设立科技成果转化岗，重点评价科技成果转化成效，建立高水平、专业化的成果转化人才队伍。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/>
        </w:rPr>
        <w:t>社会公益研究类人才评价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1. 突出行业特色和岗位特点，重点评价服务公共管理、应对突发事件、保障民生和社会安全等共性关键技术开发、服务的能力与效果，探索建立体现成果应用效益、科技服务满意度和社会效益的评价指标，引导科研人员把论文写在祖国大地上。突出长期在艰苦边远地区、高危岗位、基层一线和从事科研基础性工作科研人员的贡献。不得设立硬性经济效益的评价指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2. 完善社会化评价方式，充分听取行业用户和服务对象的意见，注重政府和社会评价。依据不同科研和服务活动类型确定合理评价周期。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3. 对承担和支撑国家科研任务并做出贡献，成果应用实效显著的科研人员，在岗位聘用、职称评审、绩效考核等方面予以倾斜，引导优秀科研人员投身国家公益事业。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地方科技人才评价改革综合试点任务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简体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"/>
        </w:rPr>
        <w:t>试点地方政府要围绕本地区科技创新任务和人才队伍建设，以“破四唯”“立新标”为突破口，组织并指导本地区优势科研单位、新型研发机构深化科技人才分类评价改革，大胆创新人才发现、培养、使用、激励机制，发挥政策集成效应，推动人才、项目、基地、资金一体化配置，有效激发科技人才活力，探索形成可推广可复制的地区经验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FE191F"/>
    <w:rsid w:val="1B4D74A3"/>
    <w:rsid w:val="1BBEA412"/>
    <w:rsid w:val="1BEF28D7"/>
    <w:rsid w:val="1CAC83B0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9FAD1FD"/>
    <w:rsid w:val="2B7F23AD"/>
    <w:rsid w:val="2B9D6755"/>
    <w:rsid w:val="2DDF91DF"/>
    <w:rsid w:val="2EC5A994"/>
    <w:rsid w:val="2F3BDEA1"/>
    <w:rsid w:val="2F7BF1A3"/>
    <w:rsid w:val="2FEB685A"/>
    <w:rsid w:val="337E22EA"/>
    <w:rsid w:val="34DFEB7D"/>
    <w:rsid w:val="34EEFB1F"/>
    <w:rsid w:val="34FB45D9"/>
    <w:rsid w:val="354F83F2"/>
    <w:rsid w:val="35D39D3E"/>
    <w:rsid w:val="36B7A45A"/>
    <w:rsid w:val="36BB84E4"/>
    <w:rsid w:val="37F80854"/>
    <w:rsid w:val="37FC62D4"/>
    <w:rsid w:val="3B5F1876"/>
    <w:rsid w:val="3B9FC5D6"/>
    <w:rsid w:val="3BBFA214"/>
    <w:rsid w:val="3BEBF083"/>
    <w:rsid w:val="3CBF643B"/>
    <w:rsid w:val="3CDF5C0B"/>
    <w:rsid w:val="3CFF8260"/>
    <w:rsid w:val="3D278673"/>
    <w:rsid w:val="3DEF3180"/>
    <w:rsid w:val="3EAF9B39"/>
    <w:rsid w:val="3EF756F2"/>
    <w:rsid w:val="3F259634"/>
    <w:rsid w:val="3F4D101E"/>
    <w:rsid w:val="3F7CC40C"/>
    <w:rsid w:val="3FB760C2"/>
    <w:rsid w:val="3FBB29E4"/>
    <w:rsid w:val="3FBD4DB5"/>
    <w:rsid w:val="3FF2B53D"/>
    <w:rsid w:val="3FFF5A0A"/>
    <w:rsid w:val="46F57AF1"/>
    <w:rsid w:val="4A6E9222"/>
    <w:rsid w:val="4A77330F"/>
    <w:rsid w:val="4AFA9EC6"/>
    <w:rsid w:val="4AFFF6C6"/>
    <w:rsid w:val="4CFF883C"/>
    <w:rsid w:val="4D9FAB49"/>
    <w:rsid w:val="4DB7E23A"/>
    <w:rsid w:val="4DDCBA94"/>
    <w:rsid w:val="4F37F742"/>
    <w:rsid w:val="4FBF6447"/>
    <w:rsid w:val="4FEFC245"/>
    <w:rsid w:val="54BEE5F3"/>
    <w:rsid w:val="563E9BC2"/>
    <w:rsid w:val="5677D1CE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D7F930"/>
    <w:rsid w:val="5DEBF8EA"/>
    <w:rsid w:val="5DEFE65D"/>
    <w:rsid w:val="5DFF8FCF"/>
    <w:rsid w:val="5E7685EA"/>
    <w:rsid w:val="5E7F6BFC"/>
    <w:rsid w:val="5EDF51FF"/>
    <w:rsid w:val="5EF2A72D"/>
    <w:rsid w:val="5F155AAF"/>
    <w:rsid w:val="5FD78026"/>
    <w:rsid w:val="5FEB945A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FF232D"/>
    <w:rsid w:val="6E5E4D04"/>
    <w:rsid w:val="6E7F01A8"/>
    <w:rsid w:val="6EBF21C6"/>
    <w:rsid w:val="6EDF1FE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1905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2774CB0"/>
    <w:rsid w:val="72FD7CFC"/>
    <w:rsid w:val="72FFF92E"/>
    <w:rsid w:val="731F117A"/>
    <w:rsid w:val="73DAD5D1"/>
    <w:rsid w:val="73FFAA78"/>
    <w:rsid w:val="74BEDFEF"/>
    <w:rsid w:val="753D4A09"/>
    <w:rsid w:val="756F6C80"/>
    <w:rsid w:val="75F91AE3"/>
    <w:rsid w:val="75FF7E96"/>
    <w:rsid w:val="767F8C24"/>
    <w:rsid w:val="76BF1CB0"/>
    <w:rsid w:val="777BC820"/>
    <w:rsid w:val="779F37FF"/>
    <w:rsid w:val="77E59795"/>
    <w:rsid w:val="77F70E51"/>
    <w:rsid w:val="77FB161B"/>
    <w:rsid w:val="77FC64F7"/>
    <w:rsid w:val="77FE1F60"/>
    <w:rsid w:val="78FB1F9B"/>
    <w:rsid w:val="79DF7011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C6EC321"/>
    <w:rsid w:val="7C9D7817"/>
    <w:rsid w:val="7CE5FFC8"/>
    <w:rsid w:val="7D0B16F7"/>
    <w:rsid w:val="7D1F8712"/>
    <w:rsid w:val="7D3F23B8"/>
    <w:rsid w:val="7D4C9508"/>
    <w:rsid w:val="7D5F2160"/>
    <w:rsid w:val="7D65D0AF"/>
    <w:rsid w:val="7D6F90A8"/>
    <w:rsid w:val="7D7B9138"/>
    <w:rsid w:val="7DAD617C"/>
    <w:rsid w:val="7DBC486E"/>
    <w:rsid w:val="7DF184A0"/>
    <w:rsid w:val="7DF57A43"/>
    <w:rsid w:val="7DFD3365"/>
    <w:rsid w:val="7DFF36CF"/>
    <w:rsid w:val="7DFFF9AC"/>
    <w:rsid w:val="7E777E82"/>
    <w:rsid w:val="7E77CFE8"/>
    <w:rsid w:val="7E7EE7EA"/>
    <w:rsid w:val="7E9C45B7"/>
    <w:rsid w:val="7EFDF257"/>
    <w:rsid w:val="7EFF9308"/>
    <w:rsid w:val="7EFFF88C"/>
    <w:rsid w:val="7F3F26EC"/>
    <w:rsid w:val="7F7E1CC0"/>
    <w:rsid w:val="7F7EEF55"/>
    <w:rsid w:val="7F7F74DC"/>
    <w:rsid w:val="7FAB6F7E"/>
    <w:rsid w:val="7FB9553D"/>
    <w:rsid w:val="7FBBF0B5"/>
    <w:rsid w:val="7FBCE93C"/>
    <w:rsid w:val="7FBFD8B8"/>
    <w:rsid w:val="7FD321ED"/>
    <w:rsid w:val="7FD7D1BC"/>
    <w:rsid w:val="7FDD40CE"/>
    <w:rsid w:val="7FDD6DE7"/>
    <w:rsid w:val="7FDF0269"/>
    <w:rsid w:val="7FDF048B"/>
    <w:rsid w:val="7FE7592D"/>
    <w:rsid w:val="7FED10FF"/>
    <w:rsid w:val="7FF5C37B"/>
    <w:rsid w:val="7FFC4135"/>
    <w:rsid w:val="7FFD1DEB"/>
    <w:rsid w:val="7FFDF405"/>
    <w:rsid w:val="7FFDF6EF"/>
    <w:rsid w:val="7FFF3BF4"/>
    <w:rsid w:val="7FFF7078"/>
    <w:rsid w:val="7FFFE828"/>
    <w:rsid w:val="7FFFF8B3"/>
    <w:rsid w:val="87BA0C09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D30DD1"/>
    <w:rsid w:val="9FEF7146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FDE166"/>
    <w:rsid w:val="B4FFC351"/>
    <w:rsid w:val="B6BF52DB"/>
    <w:rsid w:val="B796AA2F"/>
    <w:rsid w:val="B7FD62B2"/>
    <w:rsid w:val="B7FF4AA9"/>
    <w:rsid w:val="B99F859E"/>
    <w:rsid w:val="BB7F57D6"/>
    <w:rsid w:val="BBAD14A5"/>
    <w:rsid w:val="BBD8AE46"/>
    <w:rsid w:val="BBFF85D4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973578"/>
    <w:rsid w:val="BFA74FCB"/>
    <w:rsid w:val="BFE30B73"/>
    <w:rsid w:val="BFE532F4"/>
    <w:rsid w:val="BFF575E9"/>
    <w:rsid w:val="BFFA310A"/>
    <w:rsid w:val="BFFFB8FC"/>
    <w:rsid w:val="C6FFFD57"/>
    <w:rsid w:val="C7E95E4F"/>
    <w:rsid w:val="C8C25026"/>
    <w:rsid w:val="CDE7A3A4"/>
    <w:rsid w:val="CE4F6D09"/>
    <w:rsid w:val="CEFC44BE"/>
    <w:rsid w:val="CF4D6E04"/>
    <w:rsid w:val="CF7903AD"/>
    <w:rsid w:val="CFAE7096"/>
    <w:rsid w:val="CFF768AB"/>
    <w:rsid w:val="D1B36674"/>
    <w:rsid w:val="D33EB803"/>
    <w:rsid w:val="D3BCEF58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C7A3563"/>
    <w:rsid w:val="DDFBBF26"/>
    <w:rsid w:val="DE6A4032"/>
    <w:rsid w:val="DEAFA577"/>
    <w:rsid w:val="DEDF96C4"/>
    <w:rsid w:val="DF3058A7"/>
    <w:rsid w:val="DF5F5DB5"/>
    <w:rsid w:val="DF7BB33A"/>
    <w:rsid w:val="DFEA76EB"/>
    <w:rsid w:val="DFEFACA5"/>
    <w:rsid w:val="DFF56D66"/>
    <w:rsid w:val="DFF681E4"/>
    <w:rsid w:val="DFF7A585"/>
    <w:rsid w:val="DFFBB588"/>
    <w:rsid w:val="DFFDFD03"/>
    <w:rsid w:val="DFFEF3F7"/>
    <w:rsid w:val="E3DFB858"/>
    <w:rsid w:val="E3F9AD74"/>
    <w:rsid w:val="E6AC166F"/>
    <w:rsid w:val="E6F3CA3F"/>
    <w:rsid w:val="E75B97A0"/>
    <w:rsid w:val="E7F58542"/>
    <w:rsid w:val="E7F74A98"/>
    <w:rsid w:val="E9DFBFD6"/>
    <w:rsid w:val="E9DFF846"/>
    <w:rsid w:val="EA3FF3D7"/>
    <w:rsid w:val="EAFF7C7D"/>
    <w:rsid w:val="EBBFBBDA"/>
    <w:rsid w:val="EBDF46AA"/>
    <w:rsid w:val="EBDF6C55"/>
    <w:rsid w:val="EBEE74B9"/>
    <w:rsid w:val="EC5D0C7A"/>
    <w:rsid w:val="EC7D3853"/>
    <w:rsid w:val="ECFB034D"/>
    <w:rsid w:val="ED7FB6BC"/>
    <w:rsid w:val="EDB758DD"/>
    <w:rsid w:val="EDBCEADD"/>
    <w:rsid w:val="EDBD699D"/>
    <w:rsid w:val="EDFB5858"/>
    <w:rsid w:val="EF8DF232"/>
    <w:rsid w:val="EF9F961E"/>
    <w:rsid w:val="EFBDDA25"/>
    <w:rsid w:val="EFBF133B"/>
    <w:rsid w:val="EFF7E9B6"/>
    <w:rsid w:val="EFFAAAFC"/>
    <w:rsid w:val="EFFDDC75"/>
    <w:rsid w:val="EFFDE42E"/>
    <w:rsid w:val="EFFFB724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D75E80"/>
    <w:rsid w:val="F5F65367"/>
    <w:rsid w:val="F67F3A87"/>
    <w:rsid w:val="F6D518FE"/>
    <w:rsid w:val="F6EE58BF"/>
    <w:rsid w:val="F6F4F5F3"/>
    <w:rsid w:val="F6FF9B59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F64C"/>
    <w:rsid w:val="F7FB98CE"/>
    <w:rsid w:val="F7FDB212"/>
    <w:rsid w:val="F87B2C24"/>
    <w:rsid w:val="F9CB445F"/>
    <w:rsid w:val="F9D72193"/>
    <w:rsid w:val="F9D76573"/>
    <w:rsid w:val="F9FB1DEE"/>
    <w:rsid w:val="FABF6ADB"/>
    <w:rsid w:val="FABF8A81"/>
    <w:rsid w:val="FABFB3CE"/>
    <w:rsid w:val="FAFF92F2"/>
    <w:rsid w:val="FBA7FD62"/>
    <w:rsid w:val="FBEBE877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E4D5D"/>
    <w:rsid w:val="FCFED3E8"/>
    <w:rsid w:val="FCFEF6D0"/>
    <w:rsid w:val="FCFF54FE"/>
    <w:rsid w:val="FD5E5AFE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E3091"/>
    <w:rsid w:val="FDFF2A01"/>
    <w:rsid w:val="FDFF32C0"/>
    <w:rsid w:val="FE5F8012"/>
    <w:rsid w:val="FE77B01C"/>
    <w:rsid w:val="FEBB5F47"/>
    <w:rsid w:val="FED4B2CF"/>
    <w:rsid w:val="FEFB2921"/>
    <w:rsid w:val="FEFF8981"/>
    <w:rsid w:val="FF35DA8E"/>
    <w:rsid w:val="FF5E1C82"/>
    <w:rsid w:val="FF6FA9C2"/>
    <w:rsid w:val="FF7BB1EB"/>
    <w:rsid w:val="FF7F16F8"/>
    <w:rsid w:val="FF7F5D58"/>
    <w:rsid w:val="FF8D4900"/>
    <w:rsid w:val="FF9E4FBC"/>
    <w:rsid w:val="FFAF50D5"/>
    <w:rsid w:val="FFBF4C70"/>
    <w:rsid w:val="FFBFA3E6"/>
    <w:rsid w:val="FFC45482"/>
    <w:rsid w:val="FFCAF3E7"/>
    <w:rsid w:val="FFD9D0B1"/>
    <w:rsid w:val="FFDABC9F"/>
    <w:rsid w:val="FFDB948F"/>
    <w:rsid w:val="FFDFC233"/>
    <w:rsid w:val="FFEBB7CF"/>
    <w:rsid w:val="FFF1D3E6"/>
    <w:rsid w:val="FFF4547E"/>
    <w:rsid w:val="FFF62339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8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link w:val="33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1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0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批注框文本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6">
    <w:name w:val="Char1"/>
    <w:basedOn w:val="6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7">
    <w:name w:val="文档结构图 Char"/>
    <w:basedOn w:val="17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2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Subtle Emphasis"/>
    <w:qFormat/>
    <w:uiPriority w:val="19"/>
    <w:rPr>
      <w:i/>
      <w:iCs/>
      <w:color w:val="808080"/>
    </w:rPr>
  </w:style>
  <w:style w:type="paragraph" w:customStyle="1" w:styleId="3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1">
    <w:name w:val="正文文本缩进 New"/>
    <w:basedOn w:val="30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3">
    <w:name w:val="正文文本缩进 2 Char"/>
    <w:basedOn w:val="17"/>
    <w:link w:val="10"/>
    <w:qFormat/>
    <w:uiPriority w:val="0"/>
    <w:rPr>
      <w:rFonts w:ascii="宋体" w:hAnsi="宋体" w:eastAsia="宋体" w:cs="Times New Roman"/>
      <w:sz w:val="28"/>
      <w:szCs w:val="28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0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2019-01-10T12:29:00Z</dcterms:created>
  <dc:creator>Windows 用户</dc:creator>
  <cp:lastModifiedBy>user</cp:lastModifiedBy>
  <cp:lastPrinted>2023-02-05T07:37:00Z</cp:lastPrinted>
  <dcterms:modified xsi:type="dcterms:W3CDTF">2023-09-13T09:58:42Z</dcterms:modified>
  <dc:title>辽宁省科技人才评价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